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55" w:rsidRDefault="00092155" w:rsidP="0009215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ANKLE FRACTURES: </w:t>
      </w:r>
      <w:r w:rsidR="00E94038">
        <w:rPr>
          <w:b/>
          <w:sz w:val="28"/>
          <w:szCs w:val="28"/>
          <w:u w:val="single"/>
        </w:rPr>
        <w:t xml:space="preserve">OSTEOPOROTIC and </w:t>
      </w:r>
      <w:r>
        <w:rPr>
          <w:b/>
          <w:sz w:val="28"/>
          <w:szCs w:val="28"/>
          <w:u w:val="single"/>
        </w:rPr>
        <w:t xml:space="preserve">NEUROPATHIC </w:t>
      </w:r>
    </w:p>
    <w:p w:rsidR="00092155" w:rsidRDefault="00092155" w:rsidP="00092155">
      <w:pPr>
        <w:jc w:val="center"/>
        <w:rPr>
          <w:b/>
          <w:sz w:val="28"/>
          <w:szCs w:val="28"/>
          <w:u w:val="single"/>
        </w:rPr>
      </w:pPr>
    </w:p>
    <w:p w:rsidR="00092155" w:rsidRDefault="00092155" w:rsidP="00092155">
      <w:pPr>
        <w:spacing w:line="360" w:lineRule="auto"/>
        <w:ind w:left="720"/>
        <w:rPr>
          <w:b/>
          <w:u w:val="single"/>
        </w:rPr>
      </w:pPr>
    </w:p>
    <w:p w:rsidR="00092155" w:rsidRDefault="00092155" w:rsidP="00092155">
      <w:pPr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b/>
          <w:u w:val="single"/>
        </w:rPr>
        <w:t>INTRODUCTION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 w:rsidRPr="00092155">
        <w:t>Osteoporotic Fractures</w:t>
      </w:r>
    </w:p>
    <w:p w:rsidR="006B05A1" w:rsidRPr="00092155" w:rsidRDefault="00AB2BE1" w:rsidP="00092155">
      <w:pPr>
        <w:numPr>
          <w:ilvl w:val="2"/>
          <w:numId w:val="1"/>
        </w:numPr>
        <w:spacing w:line="360" w:lineRule="auto"/>
      </w:pPr>
      <w:r w:rsidRPr="00092155">
        <w:t>3</w:t>
      </w:r>
      <w:r w:rsidRPr="00092155">
        <w:rPr>
          <w:vertAlign w:val="superscript"/>
        </w:rPr>
        <w:t>rd</w:t>
      </w:r>
      <w:r w:rsidRPr="00092155">
        <w:t xml:space="preserve"> most common fracture in elderly patients </w:t>
      </w:r>
    </w:p>
    <w:p w:rsidR="00092155" w:rsidRDefault="00AB2BE1" w:rsidP="00092155">
      <w:pPr>
        <w:numPr>
          <w:ilvl w:val="2"/>
          <w:numId w:val="1"/>
        </w:numPr>
        <w:tabs>
          <w:tab w:val="num" w:pos="720"/>
        </w:tabs>
        <w:spacing w:line="360" w:lineRule="auto"/>
      </w:pPr>
      <w:r w:rsidRPr="00092155">
        <w:t>Among the most common fractures sustained by women</w:t>
      </w:r>
    </w:p>
    <w:p w:rsidR="00092155" w:rsidRDefault="00AB2BE1" w:rsidP="00092155">
      <w:pPr>
        <w:numPr>
          <w:ilvl w:val="2"/>
          <w:numId w:val="1"/>
        </w:numPr>
        <w:tabs>
          <w:tab w:val="num" w:pos="720"/>
        </w:tabs>
        <w:spacing w:line="360" w:lineRule="auto"/>
      </w:pPr>
      <w:r w:rsidRPr="00092155">
        <w:t>Peak incidence is in females 75 – 84 yrs.</w:t>
      </w:r>
    </w:p>
    <w:p w:rsidR="00092155" w:rsidRDefault="00092155" w:rsidP="00092155">
      <w:pPr>
        <w:numPr>
          <w:ilvl w:val="2"/>
          <w:numId w:val="1"/>
        </w:numPr>
        <w:tabs>
          <w:tab w:val="num" w:pos="720"/>
        </w:tabs>
        <w:spacing w:line="360" w:lineRule="auto"/>
      </w:pPr>
      <w:r>
        <w:t>Incidence r</w:t>
      </w:r>
      <w:r w:rsidR="00AB2BE1" w:rsidRPr="00092155">
        <w:t>ose from 369 in 1970 to 1545 in 2000</w:t>
      </w:r>
    </w:p>
    <w:p w:rsidR="00092155" w:rsidRPr="00092155" w:rsidRDefault="00092155" w:rsidP="00092155">
      <w:pPr>
        <w:numPr>
          <w:ilvl w:val="1"/>
          <w:numId w:val="1"/>
        </w:numPr>
        <w:spacing w:line="360" w:lineRule="auto"/>
      </w:pPr>
      <w:r>
        <w:t>Neuropathic Fractures</w:t>
      </w:r>
    </w:p>
    <w:p w:rsidR="00092155" w:rsidRPr="00EE4C0F" w:rsidRDefault="00092155" w:rsidP="00092155">
      <w:pPr>
        <w:numPr>
          <w:ilvl w:val="2"/>
          <w:numId w:val="1"/>
        </w:numPr>
        <w:spacing w:line="360" w:lineRule="auto"/>
      </w:pPr>
      <w:r w:rsidRPr="00EE4C0F">
        <w:t>One in 10 Americans are afflicted with diabetes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 xml:space="preserve">Each year </w:t>
      </w:r>
      <w:r w:rsidRPr="002F1765">
        <w:t>260,000</w:t>
      </w:r>
      <w:r>
        <w:t xml:space="preserve"> Americans sustain ankle fractures, 25% require surgery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6% of these patients are diabetics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>
        <w:t>Medical co-morbidities of patients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Neuropathy (more often in diabetics)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40% will develop this within first decade of onset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10% have it at time of initial diagnosis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&gt;50% of patients over 60 years of age have some form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Leads to delay in diagnosis and noncompliance of treatment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Arthropathy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Osteopenia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Abnormal osteoclastic activity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Angiopathy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ABI may  be helpful but may be falsely elevated due to arterial calcinosis making vessel less compressible by the cuff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May need toe pressures or transcutaneous O</w:t>
      </w:r>
      <w:r w:rsidRPr="00437A7E">
        <w:rPr>
          <w:sz w:val="18"/>
          <w:szCs w:val="18"/>
        </w:rPr>
        <w:t>2</w:t>
      </w:r>
      <w:r>
        <w:t xml:space="preserve"> measurements to evaluate flow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Delayed fracture and wound healing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Hyperglycemia produces nonenzymatic glycosylation of proteins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This alters the mechanics of wound healing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Immune dysfunction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lastRenderedPageBreak/>
        <w:t>Infection rate is higher in diabetics vs. nondiabetics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Malnutrition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Precarious soft tissues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Non-compliance</w:t>
      </w:r>
    </w:p>
    <w:p w:rsidR="00092155" w:rsidRPr="00447A08" w:rsidRDefault="00092155" w:rsidP="00092155">
      <w:pPr>
        <w:numPr>
          <w:ilvl w:val="1"/>
          <w:numId w:val="1"/>
        </w:numPr>
        <w:spacing w:line="360" w:lineRule="auto"/>
        <w:rPr>
          <w:color w:val="FF0000"/>
        </w:rPr>
      </w:pPr>
      <w:r w:rsidRPr="00447A08">
        <w:rPr>
          <w:color w:val="FF0000"/>
        </w:rPr>
        <w:t>Surgical treatment of ankle fractures in diabetics is associated with major complications (amputation, infection, nonunion) in 30-43% of patients</w:t>
      </w:r>
    </w:p>
    <w:p w:rsidR="00092155" w:rsidRPr="00D839D1" w:rsidRDefault="00092155" w:rsidP="00092155">
      <w:pPr>
        <w:numPr>
          <w:ilvl w:val="0"/>
          <w:numId w:val="1"/>
        </w:numPr>
        <w:spacing w:line="360" w:lineRule="auto"/>
      </w:pPr>
      <w:r>
        <w:rPr>
          <w:b/>
          <w:u w:val="single"/>
        </w:rPr>
        <w:t>PATIENT EVALUATION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>
        <w:t>History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Mechanism of injury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High or low energy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Timing of injury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 xml:space="preserve">If fracture identified &gt; 24 hours after injury need to check for neuropathy 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>
        <w:t>Physical Exam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Check skin for any lesions or wounds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Check circulation: may need to obtain toe pressure readings, transcutaneous O</w:t>
      </w:r>
      <w:r w:rsidRPr="002E7689">
        <w:rPr>
          <w:sz w:val="20"/>
          <w:szCs w:val="20"/>
        </w:rPr>
        <w:t>2</w:t>
      </w:r>
      <w:r>
        <w:rPr>
          <w:sz w:val="20"/>
          <w:szCs w:val="20"/>
        </w:rPr>
        <w:t xml:space="preserve"> or </w:t>
      </w:r>
      <w:r w:rsidRPr="002047AF">
        <w:t>TBI</w:t>
      </w:r>
      <w:r>
        <w:rPr>
          <w:sz w:val="20"/>
          <w:szCs w:val="20"/>
        </w:rPr>
        <w:t xml:space="preserve"> </w:t>
      </w:r>
      <w:r w:rsidRPr="002E7689">
        <w:t>levels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Check for neuropathy using Semmes-Weinstein monofilaments</w:t>
      </w:r>
      <w:r w:rsidR="00447A08">
        <w:t>- most often this is very obvious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May need a vascular consultation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>
        <w:t xml:space="preserve">Laboratory 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Check for malnutrition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Evaluate hemoglobin A1C levels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 xml:space="preserve">Levels </w:t>
      </w:r>
      <w:r w:rsidRPr="00EE4C0F">
        <w:rPr>
          <w:u w:val="single"/>
        </w:rPr>
        <w:t>&gt;</w:t>
      </w:r>
      <w:r w:rsidRPr="00EE4C0F">
        <w:t xml:space="preserve"> 6.5% </w:t>
      </w:r>
      <w:r>
        <w:t>higher rates produce more complications, poor outcomes and the need for more revisions</w:t>
      </w:r>
    </w:p>
    <w:p w:rsidR="00447A08" w:rsidRPr="00EE4C0F" w:rsidRDefault="00447A08" w:rsidP="00092155">
      <w:pPr>
        <w:numPr>
          <w:ilvl w:val="3"/>
          <w:numId w:val="1"/>
        </w:numPr>
        <w:spacing w:line="360" w:lineRule="auto"/>
      </w:pPr>
      <w:r>
        <w:t>Post operative glucose &lt; 200 is essential to minimize infection risk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>
        <w:t>Radiographs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 xml:space="preserve">Standard AP, Lateral, mortise of ankle or films of foot 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>
        <w:t>Check circulation</w:t>
      </w:r>
    </w:p>
    <w:p w:rsidR="00092155" w:rsidRPr="00317558" w:rsidRDefault="00092155" w:rsidP="00092155">
      <w:pPr>
        <w:numPr>
          <w:ilvl w:val="0"/>
          <w:numId w:val="1"/>
        </w:numPr>
        <w:spacing w:line="360" w:lineRule="auto"/>
      </w:pPr>
      <w:r>
        <w:rPr>
          <w:b/>
          <w:u w:val="single"/>
        </w:rPr>
        <w:t>TREATMENT</w:t>
      </w:r>
    </w:p>
    <w:p w:rsidR="00092155" w:rsidRPr="00317558" w:rsidRDefault="00092155" w:rsidP="00092155">
      <w:pPr>
        <w:numPr>
          <w:ilvl w:val="1"/>
          <w:numId w:val="1"/>
        </w:numPr>
        <w:spacing w:line="360" w:lineRule="auto"/>
      </w:pPr>
      <w:r w:rsidRPr="00317558">
        <w:t>Goals</w:t>
      </w:r>
    </w:p>
    <w:p w:rsidR="00092155" w:rsidRPr="003A47C3" w:rsidRDefault="00092155" w:rsidP="00092155">
      <w:pPr>
        <w:numPr>
          <w:ilvl w:val="2"/>
          <w:numId w:val="1"/>
        </w:numPr>
        <w:spacing w:line="360" w:lineRule="auto"/>
      </w:pPr>
      <w:r w:rsidRPr="003A47C3">
        <w:lastRenderedPageBreak/>
        <w:t>Stable bony anatomy of the foot or ankle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Restore function</w:t>
      </w:r>
    </w:p>
    <w:p w:rsidR="00092155" w:rsidRPr="00447A08" w:rsidRDefault="00092155" w:rsidP="00092155">
      <w:pPr>
        <w:numPr>
          <w:ilvl w:val="2"/>
          <w:numId w:val="1"/>
        </w:numPr>
        <w:spacing w:line="360" w:lineRule="auto"/>
        <w:rPr>
          <w:b/>
        </w:rPr>
      </w:pPr>
      <w:r w:rsidRPr="00447A08">
        <w:rPr>
          <w:b/>
        </w:rPr>
        <w:t>Prevent complications leading to loss of limb or death</w:t>
      </w:r>
    </w:p>
    <w:p w:rsidR="00092155" w:rsidRPr="003A47C3" w:rsidRDefault="00092155" w:rsidP="00092155">
      <w:pPr>
        <w:numPr>
          <w:ilvl w:val="2"/>
          <w:numId w:val="1"/>
        </w:numPr>
        <w:spacing w:line="360" w:lineRule="auto"/>
      </w:pPr>
      <w:r w:rsidRPr="003A47C3">
        <w:t>Patient fits easily in accommodative shoes</w:t>
      </w:r>
    </w:p>
    <w:p w:rsidR="00092155" w:rsidRPr="00447A08" w:rsidRDefault="00092155" w:rsidP="00092155">
      <w:pPr>
        <w:numPr>
          <w:ilvl w:val="2"/>
          <w:numId w:val="1"/>
        </w:numPr>
        <w:spacing w:line="360" w:lineRule="auto"/>
        <w:rPr>
          <w:b/>
        </w:rPr>
      </w:pPr>
      <w:r w:rsidRPr="00447A08">
        <w:rPr>
          <w:b/>
        </w:rPr>
        <w:t>Able to stand or weight bear for long periods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 w:rsidRPr="00317558">
        <w:t>Non-operative care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 xml:space="preserve">Indicated for non-displaced </w:t>
      </w:r>
      <w:r w:rsidR="00447A08">
        <w:t xml:space="preserve">stable </w:t>
      </w:r>
      <w:r>
        <w:t>ankle fractures</w:t>
      </w:r>
      <w:r w:rsidR="00447A08">
        <w:t xml:space="preserve"> that can tolerate WBAT</w:t>
      </w:r>
    </w:p>
    <w:p w:rsidR="00447A08" w:rsidRDefault="00447A08" w:rsidP="00092155">
      <w:pPr>
        <w:numPr>
          <w:ilvl w:val="2"/>
          <w:numId w:val="1"/>
        </w:numPr>
        <w:spacing w:line="360" w:lineRule="auto"/>
      </w:pPr>
      <w:r>
        <w:t>Beware of casting if neuropathic- skin checks essential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May need weekly or biweekly radiographs to document reduction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Protective braces may be needed for additional 2-3 months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>
        <w:t>Operative care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 w:rsidRPr="00C07298">
        <w:rPr>
          <w:b/>
          <w:u w:val="single"/>
        </w:rPr>
        <w:t>Golden Rule:</w:t>
      </w:r>
      <w:r>
        <w:t xml:space="preserve"> Double the amount of fixation, the time of non-weight bearing, the number of office visits and period of immobilization</w:t>
      </w:r>
    </w:p>
    <w:p w:rsidR="00092155" w:rsidRPr="00BF6F2E" w:rsidRDefault="00092155" w:rsidP="00092155">
      <w:pPr>
        <w:numPr>
          <w:ilvl w:val="2"/>
          <w:numId w:val="1"/>
        </w:numPr>
        <w:spacing w:line="360" w:lineRule="auto"/>
      </w:pPr>
      <w:r w:rsidRPr="00BF6F2E">
        <w:rPr>
          <w:b/>
          <w:bCs/>
        </w:rPr>
        <w:t xml:space="preserve">Shortening acceptable </w:t>
      </w:r>
      <w:r>
        <w:rPr>
          <w:b/>
          <w:bCs/>
        </w:rPr>
        <w:t xml:space="preserve">in Diabetics, </w:t>
      </w:r>
      <w:r w:rsidRPr="00BF6F2E">
        <w:rPr>
          <w:b/>
          <w:bCs/>
        </w:rPr>
        <w:t>avoids Starling’s principle</w:t>
      </w:r>
    </w:p>
    <w:p w:rsidR="00092155" w:rsidRPr="00BF6F2E" w:rsidRDefault="00092155" w:rsidP="00092155">
      <w:pPr>
        <w:numPr>
          <w:ilvl w:val="3"/>
          <w:numId w:val="1"/>
        </w:numPr>
        <w:spacing w:line="360" w:lineRule="auto"/>
      </w:pPr>
      <w:r w:rsidRPr="00BF6F2E">
        <w:t>Neuropathic P</w:t>
      </w:r>
      <w:r>
        <w:t>atien</w:t>
      </w:r>
      <w:r w:rsidRPr="00BF6F2E">
        <w:t>ts</w:t>
      </w:r>
    </w:p>
    <w:p w:rsidR="00092155" w:rsidRPr="00BF6F2E" w:rsidRDefault="00092155" w:rsidP="00092155">
      <w:pPr>
        <w:numPr>
          <w:ilvl w:val="3"/>
          <w:numId w:val="1"/>
        </w:numPr>
        <w:spacing w:line="360" w:lineRule="auto"/>
      </w:pPr>
      <w:r w:rsidRPr="00BF6F2E">
        <w:t>Poorly controlled DM</w:t>
      </w:r>
    </w:p>
    <w:p w:rsidR="00092155" w:rsidRPr="00BF6F2E" w:rsidRDefault="00092155" w:rsidP="00092155">
      <w:pPr>
        <w:numPr>
          <w:ilvl w:val="2"/>
          <w:numId w:val="1"/>
        </w:numPr>
        <w:spacing w:line="360" w:lineRule="auto"/>
      </w:pPr>
      <w:r w:rsidRPr="00BF6F2E">
        <w:t>Fusion</w:t>
      </w:r>
    </w:p>
    <w:p w:rsidR="00092155" w:rsidRPr="00BF6F2E" w:rsidRDefault="00092155" w:rsidP="00092155">
      <w:pPr>
        <w:numPr>
          <w:ilvl w:val="3"/>
          <w:numId w:val="1"/>
        </w:numPr>
        <w:spacing w:line="360" w:lineRule="auto"/>
      </w:pPr>
      <w:r w:rsidRPr="00BF6F2E">
        <w:t>May be best option in some patients</w:t>
      </w:r>
    </w:p>
    <w:p w:rsidR="00092155" w:rsidRPr="00BF6F2E" w:rsidRDefault="00092155" w:rsidP="00092155">
      <w:pPr>
        <w:numPr>
          <w:ilvl w:val="2"/>
          <w:numId w:val="1"/>
        </w:numPr>
        <w:spacing w:line="360" w:lineRule="auto"/>
      </w:pPr>
      <w:r w:rsidRPr="00BF6F2E">
        <w:rPr>
          <w:b/>
          <w:bCs/>
        </w:rPr>
        <w:t>Extend beyond zone of injury</w:t>
      </w:r>
    </w:p>
    <w:p w:rsidR="00092155" w:rsidRPr="00BF6F2E" w:rsidRDefault="00092155" w:rsidP="00092155">
      <w:pPr>
        <w:numPr>
          <w:ilvl w:val="3"/>
          <w:numId w:val="1"/>
        </w:numPr>
        <w:spacing w:line="360" w:lineRule="auto"/>
      </w:pPr>
      <w:r w:rsidRPr="00BF6F2E">
        <w:rPr>
          <w:b/>
          <w:bCs/>
        </w:rPr>
        <w:t>Use of strongest device tolerated by soft tissue envelope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>
        <w:rPr>
          <w:b/>
          <w:bCs/>
        </w:rPr>
        <w:t>Fixation of the Ankle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 xml:space="preserve">Standard small fragment fixation can be used on non-osteoporotic, non-neuropathic, palpable pulses, BMI &lt; 25 with good sugar control. Otherwise  think about locking systems 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Additional treatment may be necessary</w:t>
      </w:r>
    </w:p>
    <w:p w:rsidR="00092155" w:rsidRDefault="00092155" w:rsidP="00092155">
      <w:pPr>
        <w:numPr>
          <w:ilvl w:val="3"/>
          <w:numId w:val="1"/>
        </w:numPr>
        <w:spacing w:line="360" w:lineRule="auto"/>
      </w:pPr>
      <w:r>
        <w:t>Transarticular fixation through the heel with Steinman pins</w:t>
      </w:r>
    </w:p>
    <w:p w:rsidR="00092155" w:rsidRPr="00E94038" w:rsidRDefault="00092155" w:rsidP="00092155">
      <w:pPr>
        <w:numPr>
          <w:ilvl w:val="3"/>
          <w:numId w:val="1"/>
        </w:numPr>
        <w:spacing w:line="360" w:lineRule="auto"/>
      </w:pPr>
      <w:r>
        <w:t>Trans-syndesmotic fixation of the tibia and fibula</w:t>
      </w:r>
      <w:r w:rsidR="00E94038">
        <w:t xml:space="preserve"> – </w:t>
      </w:r>
      <w:r w:rsidR="00E94038" w:rsidRPr="00E94038">
        <w:rPr>
          <w:b/>
        </w:rPr>
        <w:t>FIBPROTIB</w:t>
      </w:r>
    </w:p>
    <w:p w:rsidR="00E94038" w:rsidRDefault="00E94038" w:rsidP="00092155">
      <w:pPr>
        <w:numPr>
          <w:ilvl w:val="3"/>
          <w:numId w:val="1"/>
        </w:numPr>
        <w:spacing w:line="360" w:lineRule="auto"/>
      </w:pPr>
      <w:r w:rsidRPr="00E94038">
        <w:t>Neutralization ex fix may be necessary</w:t>
      </w:r>
      <w:r>
        <w:rPr>
          <w:b/>
        </w:rPr>
        <w:t xml:space="preserve"> – beware of pin loosening in neuropathic patients</w:t>
      </w:r>
    </w:p>
    <w:p w:rsidR="00E94038" w:rsidRDefault="00E94038" w:rsidP="00E94038">
      <w:pPr>
        <w:spacing w:line="360" w:lineRule="auto"/>
        <w:ind w:left="2160"/>
      </w:pP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lastRenderedPageBreak/>
        <w:t>Intramedullary devices in the foot or ankle may be needed to obtain adequate fixation and alignment of the joints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>Sometimes shortening bone may be necessary to obtain adequate contact</w:t>
      </w:r>
    </w:p>
    <w:p w:rsidR="00092155" w:rsidRDefault="00092155" w:rsidP="00092155">
      <w:pPr>
        <w:numPr>
          <w:ilvl w:val="1"/>
          <w:numId w:val="1"/>
        </w:numPr>
        <w:spacing w:line="360" w:lineRule="auto"/>
      </w:pPr>
      <w:r>
        <w:t>Post-operative care</w:t>
      </w:r>
    </w:p>
    <w:p w:rsidR="00092155" w:rsidRDefault="00092155" w:rsidP="00092155">
      <w:pPr>
        <w:numPr>
          <w:ilvl w:val="2"/>
          <w:numId w:val="1"/>
        </w:numPr>
        <w:spacing w:line="360" w:lineRule="auto"/>
      </w:pPr>
      <w:r>
        <w:t xml:space="preserve">Immobilize and maintain </w:t>
      </w:r>
      <w:r w:rsidR="00E94038">
        <w:t xml:space="preserve">touch down </w:t>
      </w:r>
      <w:r>
        <w:t xml:space="preserve">weight bearing </w:t>
      </w:r>
      <w:r w:rsidR="00E94038">
        <w:t>longer than usual</w:t>
      </w:r>
    </w:p>
    <w:p w:rsidR="00092155" w:rsidRDefault="00092155" w:rsidP="00092155">
      <w:pPr>
        <w:spacing w:line="360" w:lineRule="auto"/>
      </w:pPr>
    </w:p>
    <w:p w:rsidR="00092155" w:rsidRDefault="00092155" w:rsidP="00092155">
      <w:pPr>
        <w:spacing w:line="360" w:lineRule="auto"/>
      </w:pPr>
    </w:p>
    <w:p w:rsidR="00092155" w:rsidRPr="005752DF" w:rsidRDefault="00092155" w:rsidP="00092155">
      <w:pPr>
        <w:spacing w:line="360" w:lineRule="auto"/>
        <w:rPr>
          <w:b/>
        </w:rPr>
      </w:pPr>
    </w:p>
    <w:p w:rsidR="00092155" w:rsidRPr="00317558" w:rsidRDefault="00092155" w:rsidP="00092155">
      <w:pPr>
        <w:spacing w:line="360" w:lineRule="auto"/>
        <w:ind w:left="720"/>
      </w:pPr>
    </w:p>
    <w:p w:rsidR="00092155" w:rsidRDefault="00092155" w:rsidP="0009215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REFERENCES</w:t>
      </w:r>
    </w:p>
    <w:p w:rsidR="00092155" w:rsidRDefault="00092155" w:rsidP="00092155">
      <w:pPr>
        <w:spacing w:line="360" w:lineRule="auto"/>
        <w:jc w:val="center"/>
        <w:rPr>
          <w:b/>
          <w:u w:val="single"/>
        </w:rPr>
      </w:pPr>
    </w:p>
    <w:p w:rsidR="00092155" w:rsidRDefault="00092155" w:rsidP="00092155">
      <w:pPr>
        <w:spacing w:line="360" w:lineRule="auto"/>
        <w:ind w:left="720" w:hanging="720"/>
      </w:pPr>
      <w:r>
        <w:t>1.</w:t>
      </w:r>
      <w:r>
        <w:tab/>
        <w:t xml:space="preserve">Pinzur MS, Noonan T. Ankle arthrodesis with a retrograde femoral nail for charcot ankle arthropathy. </w:t>
      </w:r>
      <w:r>
        <w:rPr>
          <w:i/>
        </w:rPr>
        <w:t xml:space="preserve">Foot Ankle Int </w:t>
      </w:r>
      <w:r>
        <w:t>2005; 26: 545-549.</w:t>
      </w:r>
    </w:p>
    <w:p w:rsidR="00092155" w:rsidRDefault="00092155" w:rsidP="00092155">
      <w:pPr>
        <w:spacing w:line="360" w:lineRule="auto"/>
        <w:ind w:left="720" w:hanging="720"/>
      </w:pPr>
      <w:r>
        <w:t>2.</w:t>
      </w:r>
      <w:r>
        <w:tab/>
        <w:t xml:space="preserve">Hockenbury RT, Gruttadauria M, McKinney I. Use of implantable bone growth stimulation in charcot ankle arthrodesis. </w:t>
      </w:r>
      <w:r>
        <w:rPr>
          <w:i/>
        </w:rPr>
        <w:t xml:space="preserve">Foot Ankle Int </w:t>
      </w:r>
      <w:r>
        <w:t>2007; 28: 971-976.</w:t>
      </w:r>
    </w:p>
    <w:p w:rsidR="00092155" w:rsidRDefault="00092155" w:rsidP="00092155">
      <w:pPr>
        <w:spacing w:line="360" w:lineRule="auto"/>
        <w:ind w:left="720" w:hanging="720"/>
      </w:pPr>
      <w:r>
        <w:t>3.</w:t>
      </w:r>
      <w:r>
        <w:tab/>
        <w:t xml:space="preserve">Thompson RB Jr, Clohisy DR: Deformity following fracture in diabetic neuropathic osteoarthropathy. Operative management of adults who have type-I diabetes. </w:t>
      </w:r>
      <w:r>
        <w:rPr>
          <w:i/>
        </w:rPr>
        <w:t xml:space="preserve">J Bone Joint Surg-Am </w:t>
      </w:r>
      <w:r>
        <w:t>1993; 75: 1765-1773.</w:t>
      </w:r>
    </w:p>
    <w:p w:rsidR="00092155" w:rsidRDefault="00092155" w:rsidP="00092155">
      <w:pPr>
        <w:spacing w:line="360" w:lineRule="auto"/>
        <w:ind w:left="720" w:hanging="720"/>
      </w:pPr>
      <w:r>
        <w:t>4.</w:t>
      </w:r>
      <w:r>
        <w:tab/>
        <w:t xml:space="preserve">Flynn JM, Rodriguez-del Rio F, Piza PA. Closed ankle fractures in the diabetic patient. </w:t>
      </w:r>
      <w:r>
        <w:rPr>
          <w:i/>
        </w:rPr>
        <w:t xml:space="preserve">Foot Ankle Int </w:t>
      </w:r>
      <w:r>
        <w:t>2000; 21:311-319.</w:t>
      </w:r>
    </w:p>
    <w:p w:rsidR="00092155" w:rsidRDefault="00092155" w:rsidP="00092155">
      <w:pPr>
        <w:spacing w:line="360" w:lineRule="auto"/>
        <w:ind w:left="720" w:hanging="720"/>
      </w:pPr>
      <w:r>
        <w:t>5.</w:t>
      </w:r>
      <w:r>
        <w:tab/>
        <w:t xml:space="preserve">Holmes GB, Hill N. Fractures and dislocations of the foot and ankle in diabetics associated with charcot joint changes. </w:t>
      </w:r>
      <w:r>
        <w:rPr>
          <w:i/>
        </w:rPr>
        <w:t xml:space="preserve">Foot Ankle Int </w:t>
      </w:r>
      <w:r>
        <w:t>1994; 15:182-185.</w:t>
      </w:r>
    </w:p>
    <w:p w:rsidR="00092155" w:rsidRDefault="00092155" w:rsidP="00092155">
      <w:pPr>
        <w:spacing w:line="360" w:lineRule="auto"/>
        <w:ind w:left="720" w:hanging="720"/>
      </w:pPr>
      <w:r>
        <w:t>6.</w:t>
      </w:r>
      <w:r>
        <w:tab/>
        <w:t xml:space="preserve">Prisk VR, Wukich DK. Ankle fractures in diabetics. </w:t>
      </w:r>
      <w:r>
        <w:rPr>
          <w:i/>
        </w:rPr>
        <w:t xml:space="preserve">Foot Ankle Clin n Am </w:t>
      </w:r>
      <w:r>
        <w:t>2006; 11:849-863.</w:t>
      </w:r>
    </w:p>
    <w:p w:rsidR="00092155" w:rsidRDefault="00092155" w:rsidP="00092155">
      <w:pPr>
        <w:spacing w:line="360" w:lineRule="auto"/>
        <w:ind w:left="720" w:hanging="720"/>
      </w:pPr>
      <w:r>
        <w:t>7.</w:t>
      </w:r>
      <w:r>
        <w:tab/>
        <w:t xml:space="preserve">Gandhi A, Liporace F, Azad V, Mattie J, Lin SS. Diabetic fracture healing. </w:t>
      </w:r>
      <w:r>
        <w:rPr>
          <w:i/>
        </w:rPr>
        <w:t xml:space="preserve">Foot Ankle Clin N Am </w:t>
      </w:r>
      <w:r>
        <w:t>2006; 11:805-824.</w:t>
      </w:r>
    </w:p>
    <w:p w:rsidR="00092155" w:rsidRDefault="00092155" w:rsidP="00092155">
      <w:pPr>
        <w:spacing w:line="360" w:lineRule="auto"/>
        <w:ind w:left="720" w:hanging="720"/>
      </w:pPr>
      <w:r>
        <w:t>8.</w:t>
      </w:r>
      <w:r>
        <w:tab/>
        <w:t xml:space="preserve">Myerson MS, Edwards WHB. Management of neuropathic fractures in the foot and ankle. </w:t>
      </w:r>
      <w:r>
        <w:rPr>
          <w:i/>
        </w:rPr>
        <w:t xml:space="preserve">J Am Acad Orthop </w:t>
      </w:r>
      <w:r>
        <w:t>1999; 7:8-18.</w:t>
      </w:r>
    </w:p>
    <w:p w:rsidR="00092155" w:rsidRDefault="00092155" w:rsidP="00092155">
      <w:pPr>
        <w:spacing w:line="360" w:lineRule="auto"/>
        <w:ind w:left="720" w:hanging="720"/>
      </w:pPr>
      <w:r>
        <w:t>9.</w:t>
      </w:r>
      <w:r>
        <w:tab/>
        <w:t xml:space="preserve">Fabrin J, Larsen K, Holstein PE. Arthrodesis with external fixation in the unstable or misaligned charcot ankle in patients with diabetes mellitus. </w:t>
      </w:r>
      <w:r>
        <w:rPr>
          <w:i/>
        </w:rPr>
        <w:t xml:space="preserve">Lower Extremity Wounds </w:t>
      </w:r>
      <w:r>
        <w:t>2007; 6:102-107.</w:t>
      </w:r>
    </w:p>
    <w:p w:rsidR="00092155" w:rsidRPr="001E09E9" w:rsidRDefault="00092155" w:rsidP="00092155">
      <w:pPr>
        <w:spacing w:line="360" w:lineRule="auto"/>
        <w:ind w:left="720" w:hanging="720"/>
        <w:rPr>
          <w:lang w:val="de-DE"/>
        </w:rPr>
      </w:pPr>
      <w:r>
        <w:lastRenderedPageBreak/>
        <w:t>10.</w:t>
      </w:r>
      <w:r>
        <w:tab/>
        <w:t xml:space="preserve">Caravaggi C, Cimmino M, Caruso S, Noce SD. Intramedullary compressive nail fixation for the treatment of severe charcot deformity of the ankle and rear foot. </w:t>
      </w:r>
      <w:r w:rsidRPr="001E09E9">
        <w:rPr>
          <w:i/>
          <w:lang w:val="de-DE"/>
        </w:rPr>
        <w:t xml:space="preserve">J Foot Ankle </w:t>
      </w:r>
      <w:r w:rsidRPr="001E09E9">
        <w:rPr>
          <w:lang w:val="de-DE"/>
        </w:rPr>
        <w:t>2006; 45:20-24.</w:t>
      </w:r>
    </w:p>
    <w:p w:rsidR="00092155" w:rsidRDefault="00092155" w:rsidP="00092155">
      <w:pPr>
        <w:spacing w:line="360" w:lineRule="auto"/>
        <w:ind w:left="720" w:hanging="720"/>
      </w:pPr>
      <w:r w:rsidRPr="001E09E9">
        <w:rPr>
          <w:lang w:val="de-DE"/>
        </w:rPr>
        <w:t>11.</w:t>
      </w:r>
      <w:r w:rsidRPr="001E09E9">
        <w:rPr>
          <w:lang w:val="de-DE"/>
        </w:rPr>
        <w:tab/>
        <w:t>Jani MM, Ricci WM, Borrelli J Jr, Barrett SE,</w:t>
      </w:r>
      <w:r>
        <w:rPr>
          <w:lang w:val="de-DE"/>
        </w:rPr>
        <w:t xml:space="preserve"> </w:t>
      </w:r>
      <w:r w:rsidRPr="001E09E9">
        <w:rPr>
          <w:lang w:val="de-DE"/>
        </w:rPr>
        <w:t xml:space="preserve">Johnson JE. </w:t>
      </w:r>
      <w:r w:rsidRPr="001E09E9">
        <w:t xml:space="preserve">A protocol for treatment of unstable ankle fractures using transarticular fixation in patients with diabetes mellitus and loss of protective sensation. </w:t>
      </w:r>
      <w:r>
        <w:rPr>
          <w:i/>
        </w:rPr>
        <w:t xml:space="preserve">Foot Ankle Int </w:t>
      </w:r>
      <w:r>
        <w:t>2003; 24:838-844.</w:t>
      </w:r>
    </w:p>
    <w:p w:rsidR="00092155" w:rsidRDefault="00092155" w:rsidP="00092155">
      <w:pPr>
        <w:spacing w:line="360" w:lineRule="auto"/>
        <w:ind w:left="720" w:hanging="720"/>
      </w:pPr>
      <w:r>
        <w:t>12.</w:t>
      </w:r>
      <w:r>
        <w:tab/>
        <w:t xml:space="preserve">Cozen L. Does diabetes delay fracture healing? </w:t>
      </w:r>
      <w:r>
        <w:rPr>
          <w:i/>
        </w:rPr>
        <w:t xml:space="preserve">Clin Orthop </w:t>
      </w:r>
      <w:r>
        <w:t>1972; 82:134-140.</w:t>
      </w:r>
    </w:p>
    <w:p w:rsidR="00092155" w:rsidRDefault="00092155" w:rsidP="00092155">
      <w:pPr>
        <w:spacing w:line="360" w:lineRule="auto"/>
        <w:ind w:left="720" w:hanging="720"/>
      </w:pPr>
      <w:r>
        <w:t>13.</w:t>
      </w:r>
      <w:r>
        <w:tab/>
        <w:t xml:space="preserve">Loder RT. The influence of diabetes mellitus on the healing of closed fractures. </w:t>
      </w:r>
      <w:r>
        <w:rPr>
          <w:i/>
        </w:rPr>
        <w:t xml:space="preserve">Clin Orthop </w:t>
      </w:r>
      <w:r>
        <w:t>1988; 232:210-216.</w:t>
      </w:r>
    </w:p>
    <w:p w:rsidR="00092155" w:rsidRDefault="00092155" w:rsidP="00092155">
      <w:pPr>
        <w:spacing w:line="360" w:lineRule="auto"/>
        <w:ind w:left="720" w:hanging="720"/>
      </w:pPr>
      <w:r>
        <w:t>14.</w:t>
      </w:r>
      <w:r>
        <w:tab/>
        <w:t xml:space="preserve">Bibbo C, Lin SS, Beam HA, Behrens FF. Complications of ankle fractures in diabetic patients. </w:t>
      </w:r>
      <w:r>
        <w:rPr>
          <w:i/>
        </w:rPr>
        <w:t xml:space="preserve">Orthop Clin N Am </w:t>
      </w:r>
      <w:r>
        <w:t>2001; 32:113-134.</w:t>
      </w:r>
    </w:p>
    <w:p w:rsidR="00092155" w:rsidRDefault="00092155" w:rsidP="00AB2BE1">
      <w:pPr>
        <w:spacing w:line="360" w:lineRule="auto"/>
        <w:ind w:left="720" w:hanging="720"/>
      </w:pPr>
      <w:r>
        <w:t>15.</w:t>
      </w:r>
      <w:r>
        <w:tab/>
        <w:t xml:space="preserve">Liu J, Ludwig, T, Ebraheim NA. Effect of blood HbA1c level on surgical treatment outcomes of diabetics with ankle fractures. </w:t>
      </w:r>
      <w:r>
        <w:rPr>
          <w:i/>
        </w:rPr>
        <w:t>Orthop Surg</w:t>
      </w:r>
      <w:r>
        <w:t xml:space="preserve"> 2013;5:203-208.</w:t>
      </w:r>
    </w:p>
    <w:p w:rsidR="00092155" w:rsidRPr="002F1EC7" w:rsidRDefault="00092155" w:rsidP="00092155">
      <w:pPr>
        <w:spacing w:line="360" w:lineRule="auto"/>
        <w:ind w:left="720" w:hanging="720"/>
      </w:pPr>
      <w:r>
        <w:t>16.</w:t>
      </w:r>
      <w:r>
        <w:tab/>
      </w:r>
      <w:r w:rsidR="00AB2BE1">
        <w:t xml:space="preserve">Kannus P, </w:t>
      </w:r>
      <w:r w:rsidR="00AB2BE1" w:rsidRPr="00AB2BE1">
        <w:rPr>
          <w:iCs/>
        </w:rPr>
        <w:t>Palvanen M, Niemi S, Parkkari J, Järvinen M</w:t>
      </w:r>
      <w:r w:rsidR="00AB2BE1" w:rsidRPr="00AB2BE1">
        <w:rPr>
          <w:i/>
          <w:iCs/>
        </w:rPr>
        <w:t xml:space="preserve">. Bone. </w:t>
      </w:r>
      <w:r w:rsidR="00AB2BE1" w:rsidRPr="00AB2BE1">
        <w:rPr>
          <w:iCs/>
        </w:rPr>
        <w:t>2002 Sep;31(3):430</w:t>
      </w:r>
    </w:p>
    <w:p w:rsidR="00501CBA" w:rsidRPr="00AB2BE1" w:rsidRDefault="00AB2BE1" w:rsidP="00AB2BE1">
      <w:pPr>
        <w:spacing w:line="360" w:lineRule="auto"/>
        <w:ind w:left="720" w:hanging="720"/>
      </w:pPr>
      <w:r>
        <w:t>17.</w:t>
      </w:r>
      <w:r>
        <w:tab/>
      </w:r>
      <w:r w:rsidRPr="00AB2BE1">
        <w:rPr>
          <w:iCs/>
        </w:rPr>
        <w:t>Bischoff-Ferrari HA</w:t>
      </w:r>
      <w:r>
        <w:rPr>
          <w:iCs/>
        </w:rPr>
        <w:t xml:space="preserve"> </w:t>
      </w:r>
      <w:r w:rsidRPr="00AB2BE1">
        <w:rPr>
          <w:iCs/>
        </w:rPr>
        <w:t xml:space="preserve">et al. Fracture prevention with vitamin D supplementation: a meta analysis of randomized controlled trials.  </w:t>
      </w:r>
      <w:r w:rsidRPr="00AB2BE1">
        <w:rPr>
          <w:i/>
          <w:iCs/>
        </w:rPr>
        <w:t>JAMA</w:t>
      </w:r>
      <w:r w:rsidRPr="00AB2BE1">
        <w:rPr>
          <w:iCs/>
        </w:rPr>
        <w:t xml:space="preserve"> 2005 </w:t>
      </w:r>
      <w:r>
        <w:rPr>
          <w:iCs/>
        </w:rPr>
        <w:t>M</w:t>
      </w:r>
      <w:r w:rsidRPr="00AB2BE1">
        <w:rPr>
          <w:iCs/>
        </w:rPr>
        <w:t>ay 11th: 293(18);to 257-64</w:t>
      </w:r>
      <w:r>
        <w:rPr>
          <w:iCs/>
        </w:rPr>
        <w:t xml:space="preserve">. </w:t>
      </w:r>
    </w:p>
    <w:sectPr w:rsidR="00501CBA" w:rsidRPr="00AB2BE1" w:rsidSect="005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082"/>
    <w:multiLevelType w:val="hybridMultilevel"/>
    <w:tmpl w:val="906C0A12"/>
    <w:lvl w:ilvl="0" w:tplc="C30C52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2E6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E64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80F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8F8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46C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E55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A6D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479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C2E24"/>
    <w:multiLevelType w:val="hybridMultilevel"/>
    <w:tmpl w:val="C658DADE"/>
    <w:lvl w:ilvl="0" w:tplc="33443B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EE1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A7F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67B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A5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095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410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26E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2E5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101F3"/>
    <w:multiLevelType w:val="hybridMultilevel"/>
    <w:tmpl w:val="CF9C23C0"/>
    <w:lvl w:ilvl="0" w:tplc="FF0C1E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ED7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0AA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C21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77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079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830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23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6C3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86FE0"/>
    <w:multiLevelType w:val="hybridMultilevel"/>
    <w:tmpl w:val="8CCA87C0"/>
    <w:lvl w:ilvl="0" w:tplc="4B78A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EE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E4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26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43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0B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CD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A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B3432D"/>
    <w:multiLevelType w:val="hybridMultilevel"/>
    <w:tmpl w:val="962A5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5"/>
    <w:rsid w:val="00092155"/>
    <w:rsid w:val="00447A08"/>
    <w:rsid w:val="00501CBA"/>
    <w:rsid w:val="006B05A1"/>
    <w:rsid w:val="00AB2BE1"/>
    <w:rsid w:val="00E94038"/>
    <w:rsid w:val="00EC4BD4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82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0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46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59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dolfi herscovici</dc:creator>
  <cp:lastModifiedBy>OConnell</cp:lastModifiedBy>
  <cp:revision>2</cp:revision>
  <dcterms:created xsi:type="dcterms:W3CDTF">2016-09-21T21:18:00Z</dcterms:created>
  <dcterms:modified xsi:type="dcterms:W3CDTF">2016-09-21T21:18:00Z</dcterms:modified>
</cp:coreProperties>
</file>