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44A6" w14:textId="77777777" w:rsidR="00AF1C40" w:rsidRDefault="00AF1C40" w:rsidP="00AF1C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13A8">
        <w:rPr>
          <w:b/>
          <w:sz w:val="32"/>
          <w:szCs w:val="32"/>
        </w:rPr>
        <w:t>Surgical Indications Rib Fracture Fixation</w:t>
      </w:r>
    </w:p>
    <w:p w14:paraId="1B0881ED" w14:textId="77777777" w:rsidR="00AF1C40" w:rsidRDefault="00AF1C40" w:rsidP="00AF1C40">
      <w:pPr>
        <w:jc w:val="center"/>
        <w:rPr>
          <w:b/>
        </w:rPr>
      </w:pPr>
      <w:r>
        <w:rPr>
          <w:b/>
        </w:rPr>
        <w:t>Ty Fowler, MD</w:t>
      </w:r>
    </w:p>
    <w:p w14:paraId="306D30F9" w14:textId="77777777" w:rsidR="00AF1C40" w:rsidRDefault="00AF1C40" w:rsidP="00AF1C40">
      <w:pPr>
        <w:jc w:val="center"/>
        <w:rPr>
          <w:b/>
        </w:rPr>
      </w:pPr>
      <w:r>
        <w:rPr>
          <w:b/>
        </w:rPr>
        <w:t>Orthopedic One</w:t>
      </w:r>
    </w:p>
    <w:p w14:paraId="67FC8C0F" w14:textId="77777777" w:rsidR="00AF1C40" w:rsidRDefault="00AF1C40" w:rsidP="00AF1C40">
      <w:pPr>
        <w:jc w:val="center"/>
        <w:rPr>
          <w:b/>
        </w:rPr>
      </w:pPr>
      <w:r>
        <w:rPr>
          <w:b/>
        </w:rPr>
        <w:t>Mount Carmel Medical Center</w:t>
      </w:r>
    </w:p>
    <w:p w14:paraId="5E95FFDA" w14:textId="77777777" w:rsidR="00AF1C40" w:rsidRDefault="00AF1C40" w:rsidP="00AF1C40">
      <w:pPr>
        <w:jc w:val="center"/>
        <w:rPr>
          <w:b/>
        </w:rPr>
      </w:pPr>
      <w:r>
        <w:rPr>
          <w:b/>
        </w:rPr>
        <w:t>Columbus, OH</w:t>
      </w:r>
    </w:p>
    <w:p w14:paraId="3B853752" w14:textId="77777777" w:rsidR="00AF1C40" w:rsidRDefault="00AF1C40" w:rsidP="00AF1C40"/>
    <w:p w14:paraId="00A81890" w14:textId="77777777" w:rsidR="00AF1C40" w:rsidRDefault="00AF1C40" w:rsidP="00AF1C40">
      <w:r w:rsidRPr="002730A1">
        <w:rPr>
          <w:b/>
        </w:rPr>
        <w:t>I.</w:t>
      </w:r>
      <w:r>
        <w:t xml:space="preserve">  INDICATIONS</w:t>
      </w:r>
    </w:p>
    <w:p w14:paraId="4BC302A3" w14:textId="77777777" w:rsidR="00AF1C40" w:rsidRDefault="00AF1C40" w:rsidP="00AF1C40">
      <w:pPr>
        <w:ind w:left="720"/>
      </w:pPr>
      <w:r>
        <w:t xml:space="preserve">Despite a growing amount of evidence strengthening surgical indications, rib fracture fixation is considered to be </w:t>
      </w:r>
      <w:r w:rsidR="00C44994">
        <w:t xml:space="preserve">a </w:t>
      </w:r>
      <w:r>
        <w:t>relative</w:t>
      </w:r>
      <w:r w:rsidR="00C44994">
        <w:t xml:space="preserve"> indication</w:t>
      </w:r>
      <w:r>
        <w:t>. There are no absolute indications for surgical fixation of ribs.</w:t>
      </w:r>
    </w:p>
    <w:p w14:paraId="1348F525" w14:textId="77777777" w:rsidR="00AF1C40" w:rsidRDefault="00AF1C40" w:rsidP="00AF1C40">
      <w:r>
        <w:tab/>
      </w:r>
    </w:p>
    <w:p w14:paraId="70F147C8" w14:textId="77777777" w:rsidR="00AF1C40" w:rsidRPr="0080185B" w:rsidRDefault="00AF1C40" w:rsidP="00AF1C40">
      <w:pPr>
        <w:ind w:firstLine="720"/>
        <w:rPr>
          <w:sz w:val="20"/>
          <w:szCs w:val="20"/>
        </w:rPr>
      </w:pPr>
      <w:r>
        <w:rPr>
          <w:b/>
        </w:rPr>
        <w:t xml:space="preserve">A. </w:t>
      </w:r>
      <w:r>
        <w:t xml:space="preserve">Flail Chest </w:t>
      </w:r>
      <w:r w:rsidRPr="00E14E4D">
        <w:rPr>
          <w:vertAlign w:val="superscript"/>
        </w:rPr>
        <w:t>(2-7, 9-15</w:t>
      </w:r>
      <w:r>
        <w:rPr>
          <w:vertAlign w:val="superscript"/>
        </w:rPr>
        <w:t>,25</w:t>
      </w:r>
      <w:r w:rsidRPr="00E14E4D">
        <w:rPr>
          <w:vertAlign w:val="superscript"/>
        </w:rPr>
        <w:t>)</w:t>
      </w:r>
    </w:p>
    <w:p w14:paraId="735BBE76" w14:textId="77777777" w:rsidR="00AF1C40" w:rsidRDefault="00AF1C40" w:rsidP="00AF1C40">
      <w:pPr>
        <w:ind w:left="1440"/>
      </w:pPr>
      <w:r w:rsidRPr="00DC5D60">
        <w:rPr>
          <w:b/>
        </w:rPr>
        <w:t>i.</w:t>
      </w:r>
      <w:r w:rsidRPr="002730A1">
        <w:t xml:space="preserve"> </w:t>
      </w:r>
      <w:r>
        <w:t>Most common indication for surgery, and considered to be a strong relative indication.</w:t>
      </w:r>
    </w:p>
    <w:p w14:paraId="21A6A9FB" w14:textId="77777777" w:rsidR="00AF1C40" w:rsidRDefault="00AF1C40" w:rsidP="00AF1C40">
      <w:pPr>
        <w:ind w:left="1440"/>
      </w:pPr>
      <w:r w:rsidRPr="00DC5D60">
        <w:rPr>
          <w:b/>
        </w:rPr>
        <w:t>ii.</w:t>
      </w:r>
      <w:r>
        <w:t xml:space="preserve"> Specific clinical factors associated with a flail chest strengthen the indication for surgery</w:t>
      </w:r>
    </w:p>
    <w:p w14:paraId="11D3D86E" w14:textId="77777777" w:rsidR="00AF1C40" w:rsidRPr="0080185B" w:rsidRDefault="00AF1C40" w:rsidP="00AF1C40">
      <w:pPr>
        <w:ind w:left="720"/>
        <w:rPr>
          <w:sz w:val="20"/>
          <w:szCs w:val="20"/>
        </w:rPr>
      </w:pPr>
      <w:r>
        <w:rPr>
          <w:b/>
        </w:rPr>
        <w:t xml:space="preserve">B. </w:t>
      </w:r>
      <w:r>
        <w:t xml:space="preserve">Chest Wall Deformity </w:t>
      </w:r>
      <w:r w:rsidRPr="00E14E4D">
        <w:rPr>
          <w:vertAlign w:val="superscript"/>
        </w:rPr>
        <w:t>(1,14,16</w:t>
      </w:r>
      <w:r>
        <w:rPr>
          <w:vertAlign w:val="superscript"/>
        </w:rPr>
        <w:t>,25</w:t>
      </w:r>
      <w:r w:rsidRPr="00E14E4D">
        <w:rPr>
          <w:vertAlign w:val="superscript"/>
        </w:rPr>
        <w:t>)</w:t>
      </w:r>
    </w:p>
    <w:p w14:paraId="0722AA10" w14:textId="77777777" w:rsidR="00AF1C40" w:rsidRDefault="00AF1C40" w:rsidP="00AF1C40">
      <w:pPr>
        <w:ind w:left="1440"/>
      </w:pPr>
      <w:r>
        <w:rPr>
          <w:b/>
        </w:rPr>
        <w:t>i.</w:t>
      </w:r>
      <w:r>
        <w:t xml:space="preserve"> Can cause significant loss of thoracic volume</w:t>
      </w:r>
    </w:p>
    <w:p w14:paraId="57E2E0D5" w14:textId="77777777" w:rsidR="00AF1C40" w:rsidRPr="00AF1C40" w:rsidRDefault="00AF1C40" w:rsidP="00AF1C40">
      <w:pPr>
        <w:ind w:left="1440"/>
      </w:pPr>
      <w:r>
        <w:rPr>
          <w:b/>
        </w:rPr>
        <w:t>ii.</w:t>
      </w:r>
      <w:r>
        <w:t xml:space="preserve"> Can be a severe </w:t>
      </w:r>
      <w:r>
        <w:rPr>
          <w:rFonts w:hint="eastAsia"/>
        </w:rPr>
        <w:t>impediment</w:t>
      </w:r>
      <w:r>
        <w:t xml:space="preserve"> to lung expansion</w:t>
      </w:r>
    </w:p>
    <w:p w14:paraId="35D82DFC" w14:textId="77777777" w:rsidR="00AF1C40" w:rsidRDefault="00AF1C40" w:rsidP="00AF1C40">
      <w:pPr>
        <w:ind w:left="720"/>
      </w:pPr>
      <w:r w:rsidRPr="004B2B92">
        <w:rPr>
          <w:b/>
        </w:rPr>
        <w:t xml:space="preserve">C. </w:t>
      </w:r>
      <w:r>
        <w:t xml:space="preserve">Concomitant Operative Thoracic Injuries </w:t>
      </w:r>
      <w:r>
        <w:rPr>
          <w:vertAlign w:val="superscript"/>
        </w:rPr>
        <w:t>(1,25</w:t>
      </w:r>
      <w:r w:rsidRPr="00E14E4D">
        <w:rPr>
          <w:vertAlign w:val="superscript"/>
        </w:rPr>
        <w:t>)</w:t>
      </w:r>
    </w:p>
    <w:p w14:paraId="4168F7E2" w14:textId="77777777" w:rsidR="00AF1C40" w:rsidRDefault="00AF1C40" w:rsidP="00AF1C40">
      <w:pPr>
        <w:ind w:left="1440"/>
      </w:pPr>
      <w:r>
        <w:rPr>
          <w:b/>
        </w:rPr>
        <w:t xml:space="preserve">i. </w:t>
      </w:r>
      <w:r>
        <w:t xml:space="preserve">Displaced ribs and thoracic trauma can cause injuries requiring operative intervention </w:t>
      </w:r>
    </w:p>
    <w:p w14:paraId="72FA830C" w14:textId="77777777" w:rsidR="00AF1C40" w:rsidRPr="00AF1C40" w:rsidRDefault="00AF1C40" w:rsidP="00AF1C40">
      <w:pPr>
        <w:ind w:left="1440"/>
      </w:pPr>
      <w:r>
        <w:rPr>
          <w:b/>
        </w:rPr>
        <w:t>ii.</w:t>
      </w:r>
      <w:r>
        <w:t xml:space="preserve"> These patients are considered operative candidates for rib fracture fixation in conjunction with or after the pulmonary procedure under the same anesthetic</w:t>
      </w:r>
    </w:p>
    <w:p w14:paraId="0F825D6C" w14:textId="77777777" w:rsidR="00AF1C40" w:rsidRDefault="00AF1C40" w:rsidP="00AF1C40">
      <w:pPr>
        <w:ind w:firstLine="720"/>
      </w:pPr>
      <w:r>
        <w:rPr>
          <w:b/>
        </w:rPr>
        <w:t>D.</w:t>
      </w:r>
      <w:r>
        <w:t xml:space="preserve"> Symptomatic Nonunion or Malunion </w:t>
      </w:r>
      <w:r w:rsidRPr="00E14E4D">
        <w:rPr>
          <w:vertAlign w:val="superscript"/>
        </w:rPr>
        <w:t>(1,17</w:t>
      </w:r>
      <w:r>
        <w:rPr>
          <w:vertAlign w:val="superscript"/>
        </w:rPr>
        <w:t>,25</w:t>
      </w:r>
      <w:r w:rsidRPr="00E14E4D">
        <w:rPr>
          <w:vertAlign w:val="superscript"/>
        </w:rPr>
        <w:t>)</w:t>
      </w:r>
    </w:p>
    <w:p w14:paraId="1746A7AB" w14:textId="77777777" w:rsidR="00AF1C40" w:rsidRDefault="00AF1C40" w:rsidP="00AF1C40">
      <w:pPr>
        <w:ind w:left="1440"/>
      </w:pPr>
      <w:r>
        <w:rPr>
          <w:b/>
        </w:rPr>
        <w:t xml:space="preserve">i. </w:t>
      </w:r>
      <w:r>
        <w:t>Upper extremity or chest wall motion in this setting may cause symptomatic complaints</w:t>
      </w:r>
    </w:p>
    <w:p w14:paraId="0C9AFDC7" w14:textId="77777777" w:rsidR="00AF1C40" w:rsidRDefault="00AF1C40" w:rsidP="00AF1C40">
      <w:r>
        <w:tab/>
      </w:r>
      <w:r>
        <w:tab/>
      </w:r>
      <w:r>
        <w:rPr>
          <w:b/>
        </w:rPr>
        <w:t xml:space="preserve">ii. </w:t>
      </w:r>
      <w:r>
        <w:t>Surgical stabilization can lead to symptom resolution</w:t>
      </w:r>
    </w:p>
    <w:p w14:paraId="310666AD" w14:textId="77777777" w:rsidR="00AF1C40" w:rsidRDefault="00AF1C40" w:rsidP="00AF1C40">
      <w:r>
        <w:tab/>
      </w:r>
      <w:r>
        <w:rPr>
          <w:b/>
        </w:rPr>
        <w:t xml:space="preserve">E. </w:t>
      </w:r>
      <w:r>
        <w:t xml:space="preserve">Pain and Disability </w:t>
      </w:r>
      <w:r w:rsidRPr="00E14E4D">
        <w:rPr>
          <w:vertAlign w:val="superscript"/>
        </w:rPr>
        <w:t>(1,2,8,9,12,18-21</w:t>
      </w:r>
      <w:r>
        <w:rPr>
          <w:vertAlign w:val="superscript"/>
        </w:rPr>
        <w:t>,25</w:t>
      </w:r>
      <w:r w:rsidRPr="00E14E4D">
        <w:rPr>
          <w:vertAlign w:val="superscript"/>
        </w:rPr>
        <w:t>)</w:t>
      </w:r>
    </w:p>
    <w:p w14:paraId="5D9DDB34" w14:textId="77777777" w:rsidR="00AF1C40" w:rsidRDefault="00AF1C40" w:rsidP="00AF1C40">
      <w:r>
        <w:tab/>
      </w:r>
      <w:r>
        <w:tab/>
      </w:r>
      <w:r w:rsidRPr="008349FC">
        <w:rPr>
          <w:b/>
        </w:rPr>
        <w:t>i.</w:t>
      </w:r>
      <w:r>
        <w:t xml:space="preserve"> Considered to be a relative indication if prevents:</w:t>
      </w:r>
    </w:p>
    <w:p w14:paraId="0BEF4A5D" w14:textId="77777777" w:rsidR="00AF1C40" w:rsidRDefault="00AF1C40" w:rsidP="00AF1C40">
      <w:pPr>
        <w:ind w:left="1440" w:firstLine="720"/>
      </w:pPr>
      <w:r w:rsidRPr="008349FC">
        <w:rPr>
          <w:b/>
        </w:rPr>
        <w:t>a.</w:t>
      </w:r>
      <w:r>
        <w:t xml:space="preserve"> Mobilization</w:t>
      </w:r>
    </w:p>
    <w:p w14:paraId="7604778C" w14:textId="77777777" w:rsidR="00AF1C40" w:rsidRDefault="00AF1C40" w:rsidP="00AF1C40">
      <w:pPr>
        <w:ind w:left="1440" w:firstLine="720"/>
      </w:pPr>
      <w:r w:rsidRPr="008349FC">
        <w:rPr>
          <w:b/>
        </w:rPr>
        <w:t>b.</w:t>
      </w:r>
      <w:r>
        <w:t xml:space="preserve"> Respiratory effort</w:t>
      </w:r>
    </w:p>
    <w:p w14:paraId="246B24AE" w14:textId="77777777" w:rsidR="00AF1C40" w:rsidRPr="008349FC" w:rsidRDefault="00AF1C40" w:rsidP="00AF1C40">
      <w:pPr>
        <w:ind w:left="1440"/>
      </w:pPr>
      <w:r w:rsidRPr="008349FC">
        <w:rPr>
          <w:b/>
        </w:rPr>
        <w:t>ii.</w:t>
      </w:r>
      <w:r>
        <w:t xml:space="preserve"> </w:t>
      </w:r>
      <w:r w:rsidR="00C44994">
        <w:t>Y</w:t>
      </w:r>
      <w:r>
        <w:t>et to be definitively demonstrated as an indication in the literature</w:t>
      </w:r>
    </w:p>
    <w:p w14:paraId="3D6AF390" w14:textId="77777777" w:rsidR="00AF1C40" w:rsidRDefault="00AF1C40" w:rsidP="00AF1C40">
      <w:pPr>
        <w:ind w:left="720"/>
      </w:pPr>
    </w:p>
    <w:p w14:paraId="4B0EB8AC" w14:textId="77777777" w:rsidR="00AF1C40" w:rsidRDefault="00AF1C40" w:rsidP="00AF1C40">
      <w:r w:rsidRPr="006F2F80">
        <w:rPr>
          <w:b/>
        </w:rPr>
        <w:t>II.</w:t>
      </w:r>
      <w:r>
        <w:rPr>
          <w:b/>
        </w:rPr>
        <w:t xml:space="preserve"> </w:t>
      </w:r>
      <w:r>
        <w:t xml:space="preserve"> CONTRAINDICATIONS</w:t>
      </w:r>
    </w:p>
    <w:p w14:paraId="0ECF84C4" w14:textId="77777777" w:rsidR="00AF1C40" w:rsidRDefault="00AF1C40" w:rsidP="00AF1C40">
      <w:r>
        <w:tab/>
      </w:r>
    </w:p>
    <w:p w14:paraId="4A25045B" w14:textId="77777777" w:rsidR="00AF1C40" w:rsidRDefault="00AF1C40" w:rsidP="00AF1C40">
      <w:pPr>
        <w:pStyle w:val="ListParagraph"/>
        <w:numPr>
          <w:ilvl w:val="0"/>
          <w:numId w:val="3"/>
        </w:numPr>
      </w:pPr>
      <w:r>
        <w:t xml:space="preserve">Pulmonary Contusion </w:t>
      </w:r>
      <w:r w:rsidRPr="00E14E4D">
        <w:rPr>
          <w:vertAlign w:val="superscript"/>
        </w:rPr>
        <w:t>(3,4,22</w:t>
      </w:r>
      <w:r>
        <w:rPr>
          <w:vertAlign w:val="superscript"/>
        </w:rPr>
        <w:t>,25</w:t>
      </w:r>
      <w:r w:rsidRPr="00E14E4D">
        <w:rPr>
          <w:vertAlign w:val="superscript"/>
        </w:rPr>
        <w:t>)</w:t>
      </w:r>
    </w:p>
    <w:p w14:paraId="0924F6E5" w14:textId="77777777" w:rsidR="00AF1C40" w:rsidRDefault="00AF1C40" w:rsidP="00AF1C40">
      <w:pPr>
        <w:pStyle w:val="ListParagraph"/>
        <w:numPr>
          <w:ilvl w:val="0"/>
          <w:numId w:val="4"/>
        </w:numPr>
      </w:pPr>
      <w:r>
        <w:t>Originally considere</w:t>
      </w:r>
      <w:r w:rsidRPr="006F2F80">
        <w:t>d</w:t>
      </w:r>
      <w:r>
        <w:t xml:space="preserve"> a contraindication</w:t>
      </w:r>
    </w:p>
    <w:p w14:paraId="6A206EE1" w14:textId="77777777" w:rsidR="00AF1C40" w:rsidRPr="006F2F80" w:rsidRDefault="00AF1C40" w:rsidP="00AF1C40">
      <w:pPr>
        <w:pStyle w:val="ListParagraph"/>
        <w:numPr>
          <w:ilvl w:val="0"/>
          <w:numId w:val="4"/>
        </w:numPr>
        <w:rPr>
          <w:b/>
        </w:rPr>
      </w:pPr>
      <w:r>
        <w:t xml:space="preserve">More recent literature brings this assumption into question </w:t>
      </w:r>
      <w:r w:rsidRPr="00AF1C40">
        <w:rPr>
          <w:vertAlign w:val="superscript"/>
        </w:rPr>
        <w:t>(3,24)</w:t>
      </w:r>
    </w:p>
    <w:p w14:paraId="794A96B6" w14:textId="77777777" w:rsidR="00AF1C40" w:rsidRDefault="00AF1C40" w:rsidP="00AF1C40">
      <w:pPr>
        <w:pStyle w:val="ListParagraph"/>
        <w:numPr>
          <w:ilvl w:val="0"/>
          <w:numId w:val="3"/>
        </w:numPr>
      </w:pPr>
      <w:r>
        <w:t xml:space="preserve">Severe Head injury </w:t>
      </w:r>
      <w:r w:rsidRPr="00E14E4D">
        <w:rPr>
          <w:vertAlign w:val="superscript"/>
        </w:rPr>
        <w:t>(23)</w:t>
      </w:r>
    </w:p>
    <w:p w14:paraId="3D84B050" w14:textId="77777777" w:rsidR="00AF1C40" w:rsidRDefault="00AF1C40" w:rsidP="00AF1C40">
      <w:pPr>
        <w:pStyle w:val="ListParagraph"/>
        <w:numPr>
          <w:ilvl w:val="0"/>
          <w:numId w:val="5"/>
        </w:numPr>
      </w:pPr>
      <w:r>
        <w:t>Some authors operative protocols consider this to be a contraindication</w:t>
      </w:r>
    </w:p>
    <w:p w14:paraId="266CD1FE" w14:textId="77777777" w:rsidR="00AF1C40" w:rsidRPr="006F2F80" w:rsidRDefault="00AF1C40" w:rsidP="00AF1C40"/>
    <w:p w14:paraId="37C0CA73" w14:textId="77777777" w:rsidR="00AF1C40" w:rsidRDefault="00AF1C40" w:rsidP="00AF1C40">
      <w:pPr>
        <w:ind w:left="720"/>
      </w:pPr>
      <w:r>
        <w:rPr>
          <w:b/>
        </w:rPr>
        <w:tab/>
      </w:r>
    </w:p>
    <w:p w14:paraId="7A237B0F" w14:textId="77777777" w:rsidR="00AF1C40" w:rsidRDefault="00AF1C40" w:rsidP="00AF1C40">
      <w:pPr>
        <w:rPr>
          <w:sz w:val="32"/>
          <w:szCs w:val="32"/>
        </w:rPr>
      </w:pPr>
    </w:p>
    <w:p w14:paraId="3E34F41F" w14:textId="77777777" w:rsidR="00AF1C40" w:rsidRDefault="00AF1C40" w:rsidP="00AF1C40">
      <w:pPr>
        <w:rPr>
          <w:sz w:val="32"/>
          <w:szCs w:val="32"/>
        </w:rPr>
      </w:pPr>
    </w:p>
    <w:p w14:paraId="108624E7" w14:textId="77777777" w:rsidR="00AF1C40" w:rsidRDefault="00AF1C40" w:rsidP="00AF1C40">
      <w:pPr>
        <w:rPr>
          <w:sz w:val="32"/>
          <w:szCs w:val="32"/>
        </w:rPr>
      </w:pPr>
    </w:p>
    <w:p w14:paraId="05426B04" w14:textId="77777777" w:rsidR="00AF1C40" w:rsidRDefault="00AF1C40" w:rsidP="00AF1C40">
      <w:pPr>
        <w:rPr>
          <w:sz w:val="32"/>
          <w:szCs w:val="32"/>
        </w:rPr>
      </w:pPr>
    </w:p>
    <w:p w14:paraId="60103BAA" w14:textId="77777777" w:rsidR="00AF1C40" w:rsidRDefault="00AF1C40" w:rsidP="00AF1C40">
      <w:pPr>
        <w:rPr>
          <w:sz w:val="32"/>
          <w:szCs w:val="32"/>
        </w:rPr>
      </w:pPr>
    </w:p>
    <w:p w14:paraId="69CDBFF9" w14:textId="77777777" w:rsidR="00AF1C40" w:rsidRDefault="00AF1C40" w:rsidP="00AF1C40">
      <w:pPr>
        <w:rPr>
          <w:sz w:val="32"/>
          <w:szCs w:val="32"/>
        </w:rPr>
      </w:pPr>
    </w:p>
    <w:p w14:paraId="154A9DC9" w14:textId="77777777" w:rsidR="00AF1C40" w:rsidRDefault="00AF1C40" w:rsidP="00AF1C40">
      <w:pPr>
        <w:rPr>
          <w:sz w:val="32"/>
          <w:szCs w:val="32"/>
        </w:rPr>
      </w:pPr>
      <w:r w:rsidRPr="0080185B">
        <w:rPr>
          <w:sz w:val="32"/>
          <w:szCs w:val="32"/>
        </w:rPr>
        <w:t>Referrences</w:t>
      </w:r>
    </w:p>
    <w:p w14:paraId="6A93D1D4" w14:textId="77777777" w:rsidR="00AF1C40" w:rsidRDefault="00AF1C40" w:rsidP="00AF1C40">
      <w:pPr>
        <w:rPr>
          <w:sz w:val="32"/>
          <w:szCs w:val="32"/>
        </w:rPr>
      </w:pPr>
    </w:p>
    <w:p w14:paraId="43E5997E" w14:textId="77777777" w:rsidR="00AF1C40" w:rsidRPr="0080185B" w:rsidRDefault="00AF1C40" w:rsidP="00AF1C4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185B">
        <w:rPr>
          <w:rFonts w:ascii="Times New Roman" w:eastAsia="ヒラギノ角ゴ Pro W3" w:hAnsi="Times New Roman"/>
          <w:sz w:val="20"/>
          <w:szCs w:val="20"/>
        </w:rPr>
        <w:t>Slater MS, Mayberry JC, Trunkey DD. Operative stabilization of a flail chest six years after injury. Ann Thorac Surg. 2001;72:600-601.</w:t>
      </w:r>
      <w:r w:rsidRPr="0080185B">
        <w:rPr>
          <w:sz w:val="20"/>
          <w:szCs w:val="20"/>
        </w:rPr>
        <w:tab/>
      </w:r>
    </w:p>
    <w:p w14:paraId="5A3E4AB1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Nirula R, Diaz JJ Jr, Trunkey DD, Mayberry JC. Rib fracture repair: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indications, technical issues, </w:t>
      </w: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and future directions. World J Surg. 2009;33(1):14-22. Level III</w:t>
      </w:r>
    </w:p>
    <w:p w14:paraId="22C452ED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Althausen PL, Shannon S, Watts C, Thomas K, Bain MA, Coll D, O'mara TJ, Bray TJ. Early surgical stabilization of flail chest with locked plate fixation. J Orthop Trauma. 2011;25(11):641-7. Level III</w:t>
      </w:r>
    </w:p>
    <w:p w14:paraId="60AE13C8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>Tanaka H, Yukioka T, Yamaguti Y, Shimizu S, Goto H, Matsuda H, Shimazaki S. Surgical stabilization of internal pneumatic stabilization? A prospective randomized study of management of severe flail chest patients</w:t>
      </w:r>
      <w:r w:rsidRPr="0080185B">
        <w:rPr>
          <w:rFonts w:ascii="Times New Roman Italic" w:eastAsia="ヒラギノ角ゴ Pro W3" w:hAnsi="Times New Roman Italic"/>
          <w:color w:val="000000"/>
          <w:sz w:val="20"/>
          <w:szCs w:val="20"/>
        </w:rPr>
        <w:t>. J Trauma</w:t>
      </w: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>. 2002;52(4):727-32. Level I</w:t>
      </w:r>
    </w:p>
    <w:p w14:paraId="1139B6A7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/>
          <w:sz w:val="20"/>
          <w:szCs w:val="20"/>
        </w:rPr>
        <w:t xml:space="preserve">Granetzny A, Abd El-Aal M, Emam E, Shalaby A, Boseila A. Surgical versus conservative treatment of flail chest. Evaluation of the pulmonary status. </w:t>
      </w:r>
      <w:r w:rsidRPr="0080185B">
        <w:rPr>
          <w:rFonts w:ascii="Times New Roman Italic" w:eastAsia="ヒラギノ角ゴ Pro W3" w:hAnsi="Times New Roman Italic"/>
          <w:sz w:val="20"/>
          <w:szCs w:val="20"/>
        </w:rPr>
        <w:t>Interact Cardiovasc Thorac Surg</w:t>
      </w:r>
      <w:r w:rsidRPr="0080185B">
        <w:rPr>
          <w:rFonts w:ascii="Times New Roman" w:eastAsia="ヒラギノ角ゴ Pro W3" w:hAnsi="Times New Roman"/>
          <w:sz w:val="20"/>
          <w:szCs w:val="20"/>
        </w:rPr>
        <w:t>. 2005;4:583-7. Level I</w:t>
      </w:r>
    </w:p>
    <w:p w14:paraId="6E20D3B8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Fitzpatrick DC, Denard PJ, Phelan D, et al.  Operative stabilization of flail chest injuries: review of literature and fixation options.  Eur J Trauma Emerg Surg.  2010;36:427-433. Level V</w:t>
      </w:r>
    </w:p>
    <w:p w14:paraId="7C673CBD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Taylor BC, French BG, Fowler, TT. Surgical approaches for rib fracture fixation. J Orthop Trauma. 2013;27:e168–e173). Level V</w:t>
      </w:r>
    </w:p>
    <w:p w14:paraId="1F922B74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Mayberry JC, Kroecker AD, Ham LB, et al. Long-term morbidity, pain and disability after repair of severe chest wall injuries. Am Surg. 2009;75:389-394. Level III</w:t>
      </w:r>
    </w:p>
    <w:p w14:paraId="4599C04E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/>
          <w:sz w:val="20"/>
          <w:szCs w:val="20"/>
        </w:rPr>
        <w:t xml:space="preserve">Ali BA, Sanfilippo F.  Management of flail chest in trauma: analysis of risk factors affecting outcomes.  </w:t>
      </w:r>
      <w:r w:rsidRPr="0080185B">
        <w:rPr>
          <w:rFonts w:ascii="Times New Roman Italic" w:eastAsia="ヒラギノ角ゴ Pro W3" w:hAnsi="Times New Roman Italic"/>
          <w:sz w:val="20"/>
          <w:szCs w:val="20"/>
        </w:rPr>
        <w:t>ANZ J Surg.</w:t>
      </w:r>
      <w:r w:rsidRPr="0080185B">
        <w:rPr>
          <w:rFonts w:ascii="Times New Roman" w:eastAsia="ヒラギノ角ゴ Pro W3" w:hAnsi="Times New Roman"/>
          <w:sz w:val="20"/>
          <w:szCs w:val="20"/>
        </w:rPr>
        <w:t xml:space="preserve"> 2007;77:A93. Level IV</w:t>
      </w:r>
    </w:p>
    <w:p w14:paraId="36734EE5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 xml:space="preserve">Sirmali M, Turut H, Topcu S, et al.  A comprehensive analysis of traumatic rib fractures: morbidity, mortality, and management.  </w:t>
      </w:r>
      <w:r w:rsidRPr="0080185B">
        <w:rPr>
          <w:rFonts w:ascii="Times New Roman Italic" w:eastAsia="ヒラギノ角ゴ Pro W3" w:hAnsi="Times New Roman Italic"/>
          <w:color w:val="000000"/>
          <w:sz w:val="20"/>
          <w:szCs w:val="20"/>
        </w:rPr>
        <w:t>Eur J Cardiothorac Surg.</w:t>
      </w: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 xml:space="preserve"> 2003;24:133-138. Level IV</w:t>
      </w:r>
    </w:p>
    <w:p w14:paraId="00A689E0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 xml:space="preserve">Wanek S, Mayberry JC.  Blunt thoracic trauma: flail chest, pulmonary contusion, and blast injury.  </w:t>
      </w:r>
      <w:r w:rsidRPr="0080185B">
        <w:rPr>
          <w:rFonts w:ascii="Times New Roman Italic" w:eastAsia="ヒラギノ角ゴ Pro W3" w:hAnsi="Times New Roman Italic"/>
          <w:color w:val="000000"/>
          <w:sz w:val="20"/>
          <w:szCs w:val="20"/>
        </w:rPr>
        <w:t xml:space="preserve">Crit Care Clin. </w:t>
      </w:r>
      <w:r w:rsidRPr="0080185B">
        <w:rPr>
          <w:rFonts w:ascii="Times New Roman" w:eastAsia="ヒラギノ角ゴ Pro W3" w:hAnsi="Times New Roman"/>
          <w:color w:val="000000"/>
          <w:sz w:val="20"/>
          <w:szCs w:val="20"/>
        </w:rPr>
        <w:t>2004;20:71-81. Level IV</w:t>
      </w:r>
    </w:p>
    <w:p w14:paraId="10041252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Ahmed Z, Mohyuddin Z. Management of flail chest injury: internal fixation versus endotracheal intubation and ventilation.   J Thorac Cardiovasc Surg.1995;110:1676-1680. Level III</w:t>
      </w:r>
    </w:p>
    <w:p w14:paraId="073F9342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Reber PU, Kniemeyer HW, Ris HB.  Reconstruction plates for internal fixation of flail chest.  Ann Thorac Surg.  1998;66:2158. Level IV</w:t>
      </w:r>
    </w:p>
    <w:p w14:paraId="2D010430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Bots J, Wijnaendts LC, Delen S, Van Dongen S, Heikinheimo K, Galis F. Analysis of cervical ribs in a series of human fetuses. J Anat. 2011 Sep;219(3):403-9. Level V</w:t>
      </w:r>
    </w:p>
    <w:p w14:paraId="1B0A5FEC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Furtado LV, Thaker HM, Erickson LK, Shirts BH, Opitz JM. Cervical ribs are more prevalent in stillborn fetuses than in live-born infants and are strongly associated with fetal aneuploidy. Pediatr Dev Pathol. 2011 Nov-Dec;14(6):431-7. Level IV</w:t>
      </w:r>
    </w:p>
    <w:p w14:paraId="780E9E96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sz w:val="20"/>
          <w:szCs w:val="20"/>
        </w:rPr>
        <w:t>Chang KZ, Likes K, Davis K, Demos J, Freischlag JA. The significance of cervical ribs in thoracic outlet syndrome. J Vasc Surg. 2013 Mar;57(3):771-5. Level V</w:t>
      </w:r>
    </w:p>
    <w:p w14:paraId="63E6CB60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Merks JH, Smets AM, Van Rijn RR, Kobes J, Caron HN, Maas M, Hennekam RC. Prevalence of rib anomalies in normal Caucasian children and childhood cancer patients. Eur J Med Genet. 2005 Apr-Jun;48(2):113-29. Level IV</w:t>
      </w:r>
    </w:p>
    <w:p w14:paraId="2815133E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  <w:u w:color="262626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  <w:u w:color="262626"/>
        </w:rPr>
        <w:t>Thompson D. The management of closed chest injuries. Postgrad Med J. 1964 Feb;40:88-92. Level IV</w:t>
      </w:r>
    </w:p>
    <w:p w14:paraId="4B90048B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Powell HD. The treatment of simple rib fractures; a criticism of a laissez-faire policy. Br Med J. 1955 Oct 1;2(4943):829-830. Level V</w:t>
      </w:r>
    </w:p>
    <w:p w14:paraId="6F0B2C39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Williams MH. Severe crushing injury to the chest: Report of a case having extensive bilateral rib fractures successfully treated by pericostal skeletal traction. Ann Surg. 1948 Nov; 128(5): 1006-1011. Level IV</w:t>
      </w:r>
    </w:p>
    <w:p w14:paraId="1AAC7DD8" w14:textId="77777777" w:rsidR="00AF1C40" w:rsidRPr="0080185B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353535"/>
          <w:sz w:val="20"/>
          <w:szCs w:val="20"/>
          <w:u w:color="262626"/>
        </w:rPr>
      </w:pPr>
      <w:r w:rsidRPr="0080185B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Jaslow IA. Skeletal traction in the treatment of multiple fractures of the thoracic cage. Am J Surg. 1946 Nov; 72(5):753-755. Level IV</w:t>
      </w:r>
    </w:p>
    <w:p w14:paraId="66649A1D" w14:textId="77777777" w:rsidR="00AF1C40" w:rsidRPr="00E14E4D" w:rsidRDefault="00AF1C40" w:rsidP="00AF1C40">
      <w:pPr>
        <w:pStyle w:val="ListParagraph"/>
        <w:numPr>
          <w:ilvl w:val="0"/>
          <w:numId w:val="6"/>
        </w:numPr>
        <w:contextualSpacing w:val="0"/>
        <w:rPr>
          <w:rFonts w:ascii="Times New Roman" w:eastAsia="ヒラギノ角ゴ Pro W3" w:hAnsi="Times New Roman" w:cs="Times New Roman"/>
          <w:color w:val="000000"/>
          <w:sz w:val="20"/>
          <w:szCs w:val="20"/>
          <w:u w:color="262626"/>
        </w:rPr>
      </w:pPr>
      <w:r w:rsidRPr="00E14E4D">
        <w:rPr>
          <w:rFonts w:ascii="Times New Roman" w:eastAsia="ヒラギノ角ゴ Pro W3" w:hAnsi="Times New Roman" w:cs="Times New Roman"/>
          <w:sz w:val="20"/>
          <w:szCs w:val="20"/>
          <w:u w:color="000000"/>
        </w:rPr>
        <w:t>Richardson DJ, Papper EM. Nerve-blocking therapy for fractured ribs. J Thorac Surg. 1947;16(4):432-437. Level IV</w:t>
      </w:r>
    </w:p>
    <w:p w14:paraId="3C7931C9" w14:textId="77777777" w:rsidR="00AF1C40" w:rsidRDefault="00AF1C40" w:rsidP="00AF1C4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Marasco S, Liew S, Edwards E, Varma D. Analysis of bone healing in flail chest injury: Do we need to fix both Fractures per rib? J Trauma, Acute Care Surg. 2014, 77(3):452-458.</w:t>
      </w:r>
      <w:r w:rsidRPr="0080185B">
        <w:rPr>
          <w:sz w:val="20"/>
          <w:szCs w:val="20"/>
        </w:rPr>
        <w:tab/>
      </w:r>
    </w:p>
    <w:p w14:paraId="1077D167" w14:textId="77777777" w:rsidR="00AF1C40" w:rsidRDefault="00AF1C40" w:rsidP="00AF1C4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Taylor BC, Fowler TT, French BG, Dominquez N. Clinical Outcomes of Surgical Stabilization of Flail Chest Injury. JAAOS. 2016;24: 575-580.</w:t>
      </w:r>
    </w:p>
    <w:p w14:paraId="5FA906AD" w14:textId="77777777" w:rsidR="00AF1C40" w:rsidRPr="0080185B" w:rsidRDefault="00AF1C40" w:rsidP="00AF1C4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Fowler, TT, Taylor BC, Bellino MJ, Althausen PL. Surgical Treatment of Flail Chest and Rib Fractures. JAAOS. 2014;22: 751-760.</w:t>
      </w:r>
      <w:r w:rsidRPr="0080185B">
        <w:rPr>
          <w:sz w:val="20"/>
          <w:szCs w:val="20"/>
        </w:rPr>
        <w:tab/>
      </w:r>
    </w:p>
    <w:p w14:paraId="727205C4" w14:textId="77777777" w:rsidR="00AF1C40" w:rsidRDefault="00AF1C40" w:rsidP="00AF1C40">
      <w:pPr>
        <w:ind w:left="720"/>
      </w:pPr>
    </w:p>
    <w:p w14:paraId="1B543820" w14:textId="77777777" w:rsidR="00AF1C40" w:rsidRPr="002513A8" w:rsidRDefault="00AF1C40" w:rsidP="00AF1C40">
      <w:pPr>
        <w:ind w:left="720"/>
      </w:pPr>
    </w:p>
    <w:p w14:paraId="08F9EA49" w14:textId="77777777" w:rsidR="0057644B" w:rsidRDefault="0057644B"/>
    <w:sectPr w:rsidR="0057644B" w:rsidSect="00AF1C4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238"/>
    <w:multiLevelType w:val="hybridMultilevel"/>
    <w:tmpl w:val="0DC6AB54"/>
    <w:lvl w:ilvl="0" w:tplc="58E4B72A">
      <w:start w:val="1"/>
      <w:numFmt w:val="lowerRoman"/>
      <w:lvlText w:val="%1."/>
      <w:lvlJc w:val="right"/>
      <w:pPr>
        <w:ind w:left="1620" w:hanging="18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620E54"/>
    <w:multiLevelType w:val="hybridMultilevel"/>
    <w:tmpl w:val="53F8E216"/>
    <w:lvl w:ilvl="0" w:tplc="1FAC4A3C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754182"/>
    <w:multiLevelType w:val="hybridMultilevel"/>
    <w:tmpl w:val="528C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B2E"/>
    <w:multiLevelType w:val="hybridMultilevel"/>
    <w:tmpl w:val="1A7C8396"/>
    <w:lvl w:ilvl="0" w:tplc="A5624D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D5C48"/>
    <w:multiLevelType w:val="hybridMultilevel"/>
    <w:tmpl w:val="3BE87E0A"/>
    <w:lvl w:ilvl="0" w:tplc="DE527760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B93554"/>
    <w:multiLevelType w:val="hybridMultilevel"/>
    <w:tmpl w:val="EE04C90E"/>
    <w:lvl w:ilvl="0" w:tplc="69F44CD4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40"/>
    <w:rsid w:val="00145263"/>
    <w:rsid w:val="0057644B"/>
    <w:rsid w:val="00AE4845"/>
    <w:rsid w:val="00AF1C40"/>
    <w:rsid w:val="00C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C8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Enterprises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Fowler</dc:creator>
  <cp:lastModifiedBy>OConnell</cp:lastModifiedBy>
  <cp:revision>2</cp:revision>
  <dcterms:created xsi:type="dcterms:W3CDTF">2016-09-20T18:29:00Z</dcterms:created>
  <dcterms:modified xsi:type="dcterms:W3CDTF">2016-09-20T18:29:00Z</dcterms:modified>
</cp:coreProperties>
</file>